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88952" w14:textId="77777777" w:rsidR="00103471" w:rsidRDefault="008474AE" w:rsidP="00501751">
      <w:pPr>
        <w:rPr>
          <w:rFonts w:ascii="Arial" w:hAnsi="Arial" w:cs="Arial"/>
          <w:b/>
          <w:color w:val="FF9900"/>
          <w:sz w:val="28"/>
          <w:szCs w:val="28"/>
        </w:rPr>
      </w:pPr>
      <w:r w:rsidRPr="00450EEA">
        <w:rPr>
          <w:rFonts w:ascii="Arial" w:hAnsi="Arial" w:cs="Arial"/>
          <w:b/>
          <w:noProof/>
          <w:color w:val="FF9900"/>
          <w:sz w:val="28"/>
          <w:szCs w:val="28"/>
        </w:rPr>
        <w:drawing>
          <wp:inline distT="0" distB="0" distL="0" distR="0" wp14:anchorId="1D71318F" wp14:editId="1A86FF10">
            <wp:extent cx="971550" cy="438150"/>
            <wp:effectExtent l="0" t="0" r="0" b="0"/>
            <wp:docPr id="1" name="Picture 1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P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B168" w14:textId="77777777" w:rsidR="00103471" w:rsidRDefault="00103471" w:rsidP="00501751">
      <w:pPr>
        <w:rPr>
          <w:rFonts w:ascii="Arial" w:hAnsi="Arial" w:cs="Arial"/>
          <w:b/>
          <w:color w:val="FF9900"/>
          <w:sz w:val="28"/>
          <w:szCs w:val="28"/>
        </w:rPr>
      </w:pPr>
    </w:p>
    <w:p w14:paraId="13FAB97A" w14:textId="77777777" w:rsidR="005E7652" w:rsidRDefault="008474AE" w:rsidP="00D61554">
      <w:pPr>
        <w:outlineLvl w:val="0"/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3C08F" wp14:editId="6D2F0D2E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3886200" cy="0"/>
                <wp:effectExtent l="19050" t="1905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1216B62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" strokecolor="#f90" strokeweight="3pt"/>
            </w:pict>
          </mc:Fallback>
        </mc:AlternateContent>
      </w:r>
      <w:r w:rsidR="00996E72" w:rsidRPr="00996E72">
        <w:rPr>
          <w:rFonts w:ascii="Arial" w:hAnsi="Arial" w:cs="Arial"/>
          <w:b/>
          <w:color w:val="FF9900"/>
          <w:sz w:val="28"/>
          <w:szCs w:val="28"/>
        </w:rPr>
        <w:t xml:space="preserve">JOB </w:t>
      </w:r>
      <w:r w:rsidR="002B4396">
        <w:rPr>
          <w:rFonts w:ascii="Arial" w:hAnsi="Arial" w:cs="Arial"/>
          <w:b/>
          <w:color w:val="FF9900"/>
          <w:sz w:val="28"/>
          <w:szCs w:val="28"/>
        </w:rPr>
        <w:t>DESCRIPTION</w:t>
      </w:r>
    </w:p>
    <w:p w14:paraId="14AA36DE" w14:textId="77777777" w:rsidR="00996E72" w:rsidRDefault="00996E72">
      <w:pPr>
        <w:rPr>
          <w:rFonts w:ascii="Arial" w:hAnsi="Arial" w:cs="Arial"/>
          <w:b/>
          <w:color w:val="FF9900"/>
          <w:sz w:val="28"/>
          <w:szCs w:val="28"/>
        </w:rPr>
      </w:pPr>
    </w:p>
    <w:p w14:paraId="6107A94E" w14:textId="77777777" w:rsidR="00996E72" w:rsidRPr="00996E72" w:rsidRDefault="00996E7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9"/>
        <w:gridCol w:w="3210"/>
        <w:gridCol w:w="3233"/>
      </w:tblGrid>
      <w:tr w:rsidR="00826A77" w:rsidRPr="001544A3" w14:paraId="59C6FD28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7DF6FA30" w14:textId="77777777" w:rsidR="00826A77" w:rsidRPr="001544A3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Official Job Title:</w:t>
            </w:r>
          </w:p>
        </w:tc>
        <w:tc>
          <w:tcPr>
            <w:tcW w:w="6680" w:type="dxa"/>
            <w:gridSpan w:val="2"/>
            <w:vAlign w:val="center"/>
          </w:tcPr>
          <w:p w14:paraId="314C5E36" w14:textId="2CE4AA76" w:rsidR="00826A77" w:rsidRPr="00F021A9" w:rsidRDefault="00C526C0" w:rsidP="00BE4A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kern w:val="36"/>
                <w:sz w:val="20"/>
                <w:szCs w:val="20"/>
                <w:bdr w:val="none" w:sz="0" w:space="0" w:color="auto" w:frame="1"/>
              </w:rPr>
              <w:t xml:space="preserve">Programme </w:t>
            </w:r>
            <w:r w:rsidR="00FA6E17">
              <w:rPr>
                <w:rFonts w:ascii="Arial" w:hAnsi="Arial" w:cs="Arial"/>
                <w:b/>
                <w:color w:val="404040"/>
                <w:kern w:val="36"/>
                <w:sz w:val="20"/>
                <w:szCs w:val="20"/>
                <w:bdr w:val="none" w:sz="0" w:space="0" w:color="auto" w:frame="1"/>
              </w:rPr>
              <w:t>Specialist</w:t>
            </w:r>
            <w:r>
              <w:rPr>
                <w:rFonts w:ascii="Arial" w:hAnsi="Arial" w:cs="Arial"/>
                <w:b/>
                <w:color w:val="404040"/>
                <w:kern w:val="36"/>
                <w:sz w:val="20"/>
                <w:szCs w:val="20"/>
                <w:bdr w:val="none" w:sz="0" w:space="0" w:color="auto" w:frame="1"/>
              </w:rPr>
              <w:t xml:space="preserve"> M&amp;E</w:t>
            </w:r>
          </w:p>
        </w:tc>
      </w:tr>
      <w:tr w:rsidR="00BE4A8E" w:rsidRPr="001544A3" w14:paraId="6D3121B6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41EAC292" w14:textId="77777777" w:rsidR="00BE4A8E" w:rsidRPr="001544A3" w:rsidRDefault="00BE4A8E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Duty Station:  </w:t>
            </w:r>
          </w:p>
        </w:tc>
        <w:tc>
          <w:tcPr>
            <w:tcW w:w="6680" w:type="dxa"/>
            <w:gridSpan w:val="2"/>
            <w:vAlign w:val="center"/>
          </w:tcPr>
          <w:p w14:paraId="6637291D" w14:textId="77777777" w:rsidR="00BE4A8E" w:rsidRDefault="00BE4A8E" w:rsidP="002663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Johannesburg, South Africa </w:t>
            </w:r>
          </w:p>
        </w:tc>
      </w:tr>
      <w:tr w:rsidR="00E07C3E" w:rsidRPr="001544A3" w14:paraId="5DA8EC75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10E73DB4" w14:textId="77777777" w:rsidR="00E07C3E" w:rsidRPr="001544A3" w:rsidRDefault="00E07C3E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Grade (Classified)</w:t>
            </w:r>
          </w:p>
        </w:tc>
        <w:tc>
          <w:tcPr>
            <w:tcW w:w="6680" w:type="dxa"/>
            <w:gridSpan w:val="2"/>
            <w:vAlign w:val="center"/>
          </w:tcPr>
          <w:p w14:paraId="1236DC2A" w14:textId="0BB7E4C1" w:rsidR="00E07C3E" w:rsidRPr="001544A3" w:rsidRDefault="00C526C0" w:rsidP="002663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</w:t>
            </w:r>
            <w:r w:rsidR="00F571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571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26A77" w:rsidRPr="001544A3" w14:paraId="36ABE5F0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34841CFF" w14:textId="77777777" w:rsidR="00826A77" w:rsidRPr="001544A3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Post Number:</w:t>
            </w:r>
          </w:p>
        </w:tc>
        <w:tc>
          <w:tcPr>
            <w:tcW w:w="6680" w:type="dxa"/>
            <w:gridSpan w:val="2"/>
            <w:vAlign w:val="center"/>
          </w:tcPr>
          <w:p w14:paraId="4B5929F8" w14:textId="28CF8A38" w:rsidR="00826A77" w:rsidRPr="001544A3" w:rsidRDefault="00C526C0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130838</w:t>
            </w:r>
          </w:p>
        </w:tc>
      </w:tr>
      <w:tr w:rsidR="00826A77" w:rsidRPr="001544A3" w14:paraId="6293F83B" w14:textId="77777777" w:rsidTr="00E65866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7BA0EFAA" w14:textId="77777777" w:rsidR="00826A77" w:rsidRPr="001544A3" w:rsidRDefault="00826A77" w:rsidP="00154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Post Type:</w:t>
            </w:r>
          </w:p>
        </w:tc>
        <w:tc>
          <w:tcPr>
            <w:tcW w:w="6680" w:type="dxa"/>
            <w:gridSpan w:val="2"/>
            <w:vAlign w:val="center"/>
          </w:tcPr>
          <w:p w14:paraId="681757E6" w14:textId="77777777" w:rsidR="00826A77" w:rsidRPr="001544A3" w:rsidRDefault="00826A77" w:rsidP="00BE4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6FA9">
              <w:rPr>
                <w:rFonts w:ascii="Arial" w:hAnsi="Arial" w:cs="Arial"/>
                <w:b/>
                <w:sz w:val="20"/>
                <w:szCs w:val="20"/>
              </w:rPr>
            </w:r>
            <w:r w:rsidR="001D6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Rotational     </w:t>
            </w:r>
            <w:r w:rsidR="00BE4A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2"/>
            <w:r w:rsidR="00BE4A8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6FA9">
              <w:rPr>
                <w:rFonts w:ascii="Arial" w:hAnsi="Arial" w:cs="Arial"/>
                <w:b/>
                <w:sz w:val="20"/>
                <w:szCs w:val="20"/>
              </w:rPr>
            </w:r>
            <w:r w:rsidR="001D6F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4A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   Non-Rotational</w:t>
            </w:r>
          </w:p>
        </w:tc>
      </w:tr>
      <w:tr w:rsidR="00826A77" w:rsidRPr="001544A3" w14:paraId="6D99DC74" w14:textId="77777777" w:rsidTr="00E65866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61A6DBEE" w14:textId="77777777" w:rsidR="00826A77" w:rsidRPr="001544A3" w:rsidRDefault="00826A77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Classification Authority:</w:t>
            </w:r>
          </w:p>
        </w:tc>
        <w:tc>
          <w:tcPr>
            <w:tcW w:w="3330" w:type="dxa"/>
            <w:vAlign w:val="center"/>
          </w:tcPr>
          <w:p w14:paraId="595013E6" w14:textId="77777777" w:rsidR="00826A77" w:rsidRPr="001544A3" w:rsidRDefault="00826A77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14:paraId="7018419B" w14:textId="77777777" w:rsidR="00826A77" w:rsidRPr="001544A3" w:rsidRDefault="00826A77" w:rsidP="0066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</w:p>
        </w:tc>
      </w:tr>
    </w:tbl>
    <w:p w14:paraId="42AB45CD" w14:textId="77777777" w:rsidR="00996E72" w:rsidRDefault="00996E72">
      <w:pPr>
        <w:rPr>
          <w:rFonts w:ascii="Arial" w:hAnsi="Arial" w:cs="Arial"/>
          <w:b/>
          <w:sz w:val="20"/>
          <w:szCs w:val="20"/>
        </w:rPr>
      </w:pPr>
    </w:p>
    <w:p w14:paraId="3FA1A676" w14:textId="77777777" w:rsidR="00996E72" w:rsidRPr="00046652" w:rsidRDefault="00046652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6E55CD" w:rsidRPr="00046652">
        <w:rPr>
          <w:rFonts w:ascii="Arial" w:hAnsi="Arial" w:cs="Arial"/>
          <w:b/>
          <w:sz w:val="20"/>
          <w:szCs w:val="20"/>
          <w:u w:val="single"/>
        </w:rPr>
        <w:t>Organizational Location</w:t>
      </w:r>
    </w:p>
    <w:p w14:paraId="377BC04E" w14:textId="77777777" w:rsidR="00DE429F" w:rsidRDefault="00DE429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E55CD" w:rsidRPr="008971FF" w14:paraId="2B15E024" w14:textId="77777777" w:rsidTr="00FB3E62">
        <w:tc>
          <w:tcPr>
            <w:tcW w:w="8748" w:type="dxa"/>
            <w:shd w:val="clear" w:color="auto" w:fill="FFFFFF"/>
          </w:tcPr>
          <w:p w14:paraId="218D3619" w14:textId="77777777" w:rsidR="008971FF" w:rsidRDefault="008971FF" w:rsidP="00EC0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114AE" w14:textId="45A13A27" w:rsidR="006667FE" w:rsidRDefault="00B17C0B" w:rsidP="00EC0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C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M&amp;E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Swedish funded Joint United Nations Programme on SRHR/HIV and GBV Integration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is located in the East and Southern Africa Regional Office (ESARO) based in Johannesburg, South Africa. S/He reports to the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Project Coordinator based at </w:t>
            </w:r>
            <w:r w:rsidRPr="00B17C0B">
              <w:rPr>
                <w:rFonts w:ascii="Arial" w:hAnsi="Arial" w:cs="Arial"/>
                <w:sz w:val="20"/>
                <w:szCs w:val="20"/>
              </w:rPr>
              <w:t>UNFPA ESARO and falls under the overall leadership of the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HIV Prevention Advisor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F021A9">
              <w:rPr>
                <w:rFonts w:ascii="Arial" w:hAnsi="Arial" w:cs="Arial"/>
                <w:sz w:val="20"/>
                <w:szCs w:val="20"/>
              </w:rPr>
              <w:t>Specialist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 M&amp;E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will work closely </w:t>
            </w:r>
            <w:r w:rsidR="0027031B">
              <w:rPr>
                <w:rFonts w:ascii="Arial" w:hAnsi="Arial" w:cs="Arial"/>
                <w:sz w:val="20"/>
                <w:szCs w:val="20"/>
              </w:rPr>
              <w:t xml:space="preserve">coordinate efforts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27031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526C0">
              <w:rPr>
                <w:rFonts w:ascii="Arial" w:hAnsi="Arial" w:cs="Arial"/>
                <w:sz w:val="20"/>
                <w:szCs w:val="20"/>
              </w:rPr>
              <w:t>M&amp;E A</w:t>
            </w:r>
            <w:r w:rsidR="0027031B">
              <w:rPr>
                <w:rFonts w:ascii="Arial" w:hAnsi="Arial" w:cs="Arial"/>
                <w:sz w:val="20"/>
                <w:szCs w:val="20"/>
              </w:rPr>
              <w:t xml:space="preserve">dvisor and the M&amp;E Manager of the Safeguard Young People Programme,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select programme staff and other key UNFPA ESARO technical, programme and operational staff for the effective implementation of the key components of the </w:t>
            </w:r>
            <w:r w:rsidR="00CD110D">
              <w:rPr>
                <w:rFonts w:ascii="Arial" w:hAnsi="Arial" w:cs="Arial"/>
                <w:sz w:val="20"/>
                <w:szCs w:val="20"/>
              </w:rPr>
              <w:t>Joint P</w:t>
            </w:r>
            <w:r w:rsidRPr="00B17C0B">
              <w:rPr>
                <w:rFonts w:ascii="Arial" w:hAnsi="Arial" w:cs="Arial"/>
                <w:sz w:val="20"/>
                <w:szCs w:val="20"/>
              </w:rPr>
              <w:t>rogramme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and UNFPA’s efforts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 on SRHR/HIV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S/He </w:t>
            </w:r>
            <w:r w:rsidR="001649AF" w:rsidRPr="00B17C0B">
              <w:rPr>
                <w:rFonts w:ascii="Arial" w:hAnsi="Arial" w:cs="Arial"/>
                <w:sz w:val="20"/>
                <w:szCs w:val="20"/>
              </w:rPr>
              <w:t xml:space="preserve">is overall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responsible for the monitoring and evaluation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of the Joint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UN Regional </w:t>
            </w:r>
            <w:r w:rsidR="001649AF">
              <w:rPr>
                <w:rFonts w:ascii="Arial" w:hAnsi="Arial" w:cs="Arial"/>
                <w:sz w:val="20"/>
                <w:szCs w:val="20"/>
              </w:rPr>
              <w:t>Programme</w:t>
            </w:r>
            <w:r w:rsidR="001649AF" w:rsidRPr="00B17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and will work in close collaboration with regional focal persons from UNAIDS, UNICEF and WHO and the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M&amp;E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Focal Persons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responsible for the Joint UN Programme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in the participating countries to 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F021A9">
              <w:rPr>
                <w:rFonts w:ascii="Arial" w:hAnsi="Arial" w:cs="Arial"/>
                <w:sz w:val="20"/>
                <w:szCs w:val="20"/>
              </w:rPr>
              <w:t>that the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 Joint United Nations Programme on SRHR/HIV and GBV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is effectively monitored and evaluated</w:t>
            </w:r>
            <w:r w:rsidR="001649AF">
              <w:rPr>
                <w:rFonts w:ascii="Arial" w:hAnsi="Arial" w:cs="Arial"/>
                <w:sz w:val="20"/>
                <w:szCs w:val="20"/>
              </w:rPr>
              <w:t>.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S/he will support the strengthening of the monitoring and reporting of UNFPA’s efforts on HIV prevention.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She/he is responsible for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policy, programme and operational management guidance to the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UN partners,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programme staff and countries in an integrated and coordinated manner for the successful implementation of the programme deliverables/results.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S/He will </w:t>
            </w:r>
            <w:r w:rsidR="00F021A9">
              <w:rPr>
                <w:rFonts w:ascii="Arial" w:hAnsi="Arial" w:cs="Arial"/>
                <w:sz w:val="20"/>
                <w:szCs w:val="20"/>
              </w:rPr>
              <w:t>work together with the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>
              <w:rPr>
                <w:rFonts w:ascii="Arial" w:hAnsi="Arial" w:cs="Arial"/>
                <w:sz w:val="20"/>
                <w:szCs w:val="20"/>
              </w:rPr>
              <w:t>/Finance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FA6E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6C0">
              <w:rPr>
                <w:rFonts w:ascii="Arial" w:hAnsi="Arial" w:cs="Arial"/>
                <w:sz w:val="20"/>
                <w:szCs w:val="20"/>
              </w:rPr>
              <w:t>and an Admin/Finance Associate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proper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coordination,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and implementation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Joint UN </w:t>
            </w:r>
            <w:r w:rsidRPr="00B17C0B">
              <w:rPr>
                <w:rFonts w:ascii="Arial" w:hAnsi="Arial" w:cs="Arial"/>
                <w:sz w:val="20"/>
                <w:szCs w:val="20"/>
              </w:rPr>
              <w:t>programme.</w:t>
            </w:r>
          </w:p>
          <w:p w14:paraId="44632882" w14:textId="77777777" w:rsidR="006667FE" w:rsidRPr="00AC2D97" w:rsidRDefault="006667FE" w:rsidP="00EC0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4818D" w14:textId="77777777" w:rsidR="00046652" w:rsidRDefault="00046652">
      <w:pPr>
        <w:rPr>
          <w:rFonts w:ascii="Arial" w:hAnsi="Arial" w:cs="Arial"/>
          <w:b/>
          <w:sz w:val="20"/>
          <w:szCs w:val="20"/>
        </w:rPr>
      </w:pPr>
    </w:p>
    <w:p w14:paraId="3C2AA1BD" w14:textId="77777777" w:rsidR="00046652" w:rsidRDefault="00046652" w:rsidP="00D6155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046652">
        <w:rPr>
          <w:rFonts w:ascii="Arial" w:hAnsi="Arial" w:cs="Arial"/>
          <w:b/>
          <w:sz w:val="20"/>
          <w:szCs w:val="20"/>
          <w:u w:val="single"/>
        </w:rPr>
        <w:t>Job Purpose</w:t>
      </w:r>
    </w:p>
    <w:p w14:paraId="4A8BAD3F" w14:textId="77777777" w:rsidR="00046652" w:rsidRDefault="0004665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46652" w:rsidRPr="001649AF" w14:paraId="3749A789" w14:textId="77777777" w:rsidTr="00C826C1">
        <w:tc>
          <w:tcPr>
            <w:tcW w:w="8748" w:type="dxa"/>
          </w:tcPr>
          <w:p w14:paraId="6B822A2B" w14:textId="77777777" w:rsidR="006147CE" w:rsidRPr="001649AF" w:rsidRDefault="006147CE" w:rsidP="00AC2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22FBE" w14:textId="0372C918" w:rsidR="001649AF" w:rsidRPr="001649AF" w:rsidRDefault="001649AF" w:rsidP="001649AF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1649AF">
              <w:rPr>
                <w:rFonts w:ascii="Arial" w:hAnsi="Arial" w:cs="Arial"/>
                <w:sz w:val="20"/>
                <w:szCs w:val="20"/>
              </w:rPr>
              <w:t>The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 Programme S</w:t>
            </w:r>
            <w:r w:rsidR="00F021A9">
              <w:rPr>
                <w:rFonts w:ascii="Arial" w:hAnsi="Arial" w:cs="Arial"/>
                <w:sz w:val="20"/>
                <w:szCs w:val="20"/>
              </w:rPr>
              <w:t>pecialist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 M&amp;E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oversee the monitoring and evaluation of the Joint UN Regional Programme on SRHR/HIV and GBV Integration and work closely with the </w:t>
            </w:r>
            <w:r>
              <w:rPr>
                <w:rFonts w:ascii="Arial" w:hAnsi="Arial" w:cs="Arial"/>
                <w:sz w:val="20"/>
                <w:szCs w:val="20"/>
              </w:rPr>
              <w:t>Regional Interagency Work</w:t>
            </w:r>
            <w:r w:rsidR="0027031B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and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agency assigned focal persons to </w:t>
            </w:r>
            <w:r>
              <w:rPr>
                <w:rFonts w:ascii="Arial" w:hAnsi="Arial" w:cs="Arial"/>
                <w:sz w:val="20"/>
                <w:szCs w:val="20"/>
              </w:rPr>
              <w:t xml:space="preserve">coordinate the </w:t>
            </w:r>
            <w:r w:rsidR="00F021A9">
              <w:rPr>
                <w:rFonts w:ascii="Arial" w:hAnsi="Arial" w:cs="Arial"/>
                <w:sz w:val="20"/>
                <w:szCs w:val="20"/>
              </w:rPr>
              <w:t>monitoring, evaluation and reporting of the Joint UN Programme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and support strategic information related activities on the Joint UN Programme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27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S/he will also support the monitoring and reporting on the efforts of UNFPA in relation to HIV prevention.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S/He is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responsible for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providing monitoring and evaluation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guidance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UN partners, </w:t>
            </w:r>
            <w:r w:rsidRPr="001649AF">
              <w:rPr>
                <w:rFonts w:ascii="Arial" w:hAnsi="Arial" w:cs="Arial"/>
                <w:sz w:val="20"/>
                <w:szCs w:val="20"/>
              </w:rPr>
              <w:t>programme staff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countries that are part of the </w:t>
            </w:r>
            <w:r w:rsidRPr="001649AF">
              <w:rPr>
                <w:rFonts w:ascii="Arial" w:hAnsi="Arial" w:cs="Arial"/>
                <w:sz w:val="20"/>
                <w:szCs w:val="20"/>
              </w:rPr>
              <w:lastRenderedPageBreak/>
              <w:t xml:space="preserve">programme in an integrated and coordinated manner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to ensure that the results of the Joint Programme are effectively monitored and reported to show impact. </w:t>
            </w:r>
          </w:p>
          <w:p w14:paraId="57CD6272" w14:textId="77777777" w:rsidR="00C526C0" w:rsidRDefault="00C526C0" w:rsidP="001649AF">
            <w:pPr>
              <w:pStyle w:val="p2"/>
              <w:rPr>
                <w:rFonts w:ascii="Arial" w:hAnsi="Arial" w:cs="Arial"/>
                <w:sz w:val="20"/>
                <w:szCs w:val="20"/>
              </w:rPr>
            </w:pPr>
          </w:p>
          <w:p w14:paraId="0C7682E6" w14:textId="25E7C854" w:rsidR="001649AF" w:rsidRPr="001649AF" w:rsidRDefault="001649AF" w:rsidP="001649AF">
            <w:pPr>
              <w:pStyle w:val="p2"/>
              <w:rPr>
                <w:rFonts w:ascii="Arial" w:hAnsi="Arial" w:cs="Arial"/>
                <w:sz w:val="20"/>
                <w:szCs w:val="20"/>
              </w:rPr>
            </w:pPr>
            <w:r w:rsidRPr="001649A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121A1">
              <w:rPr>
                <w:rFonts w:ascii="Arial" w:hAnsi="Arial" w:cs="Arial"/>
                <w:sz w:val="20"/>
                <w:szCs w:val="20"/>
              </w:rPr>
              <w:t>Pro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gramme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M&amp;E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will ensure regular communication with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agency and country programme managers, M&amp;E focal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persons responsible for monitoring and reporting on the programme. </w:t>
            </w:r>
            <w:r w:rsidRPr="001649AF">
              <w:rPr>
                <w:rFonts w:ascii="Arial" w:hAnsi="Arial" w:cs="Arial"/>
                <w:sz w:val="20"/>
                <w:szCs w:val="20"/>
              </w:rPr>
              <w:t>All monitoring, evaluation and reporting related commitments will be the responsibi</w:t>
            </w:r>
            <w:r w:rsidR="00027A6B">
              <w:rPr>
                <w:rFonts w:ascii="Arial" w:hAnsi="Arial" w:cs="Arial"/>
                <w:sz w:val="20"/>
                <w:szCs w:val="20"/>
              </w:rPr>
              <w:t xml:space="preserve">lity of the 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810D6F">
              <w:rPr>
                <w:rFonts w:ascii="Arial" w:hAnsi="Arial" w:cs="Arial"/>
                <w:sz w:val="20"/>
                <w:szCs w:val="20"/>
              </w:rPr>
              <w:t>Specialist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 M&amp;E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S/He will provide strategic advice and ensure appropriate coordination within ESARO and with concerned COs and various partners on the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monitoring and evaluation of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the programme. The </w:t>
            </w:r>
            <w:r w:rsidR="00C526C0">
              <w:rPr>
                <w:rFonts w:ascii="Arial" w:hAnsi="Arial" w:cs="Arial"/>
                <w:sz w:val="20"/>
                <w:szCs w:val="20"/>
              </w:rPr>
              <w:t>Programme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 M&amp;E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will work with the Project Coordinator to update the regional partners, the Regional Director</w:t>
            </w:r>
            <w:r w:rsidR="00C826C1">
              <w:rPr>
                <w:rFonts w:ascii="Arial" w:hAnsi="Arial" w:cs="Arial"/>
                <w:sz w:val="20"/>
                <w:szCs w:val="20"/>
              </w:rPr>
              <w:t xml:space="preserve">, R-UNDG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the Regional Programme Steering Committee Meeting of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the progress of the programme </w:t>
            </w:r>
            <w:r w:rsidR="00C826C1" w:rsidRPr="001649A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826C1">
              <w:rPr>
                <w:rFonts w:ascii="Arial" w:hAnsi="Arial" w:cs="Arial"/>
                <w:sz w:val="20"/>
                <w:szCs w:val="20"/>
              </w:rPr>
              <w:t>partnership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C826C1">
              <w:rPr>
                <w:rFonts w:ascii="Arial" w:hAnsi="Arial" w:cs="Arial"/>
                <w:sz w:val="20"/>
                <w:szCs w:val="20"/>
              </w:rPr>
              <w:t xml:space="preserve">Sweden </w:t>
            </w:r>
            <w:r w:rsidRPr="001649AF">
              <w:rPr>
                <w:rFonts w:ascii="Arial" w:hAnsi="Arial" w:cs="Arial"/>
                <w:sz w:val="20"/>
                <w:szCs w:val="20"/>
              </w:rPr>
              <w:t>and other funders in respect to the programme, its results and sustainability.</w:t>
            </w:r>
          </w:p>
          <w:p w14:paraId="3988706C" w14:textId="77777777" w:rsidR="006667FE" w:rsidRPr="001649AF" w:rsidRDefault="006667FE" w:rsidP="00AC2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DA1EC" w14:textId="77777777" w:rsidR="006667FE" w:rsidRPr="001649AF" w:rsidRDefault="006667FE" w:rsidP="00AC2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D1394" w14:textId="77777777" w:rsidR="00046652" w:rsidRDefault="00046652">
      <w:pPr>
        <w:rPr>
          <w:rFonts w:ascii="Arial" w:hAnsi="Arial" w:cs="Arial"/>
          <w:b/>
          <w:sz w:val="20"/>
          <w:szCs w:val="20"/>
        </w:rPr>
      </w:pPr>
    </w:p>
    <w:p w14:paraId="4DD4E251" w14:textId="77777777" w:rsidR="00996E72" w:rsidRDefault="002A31CE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Major Activities/Expected Results</w:t>
      </w:r>
    </w:p>
    <w:p w14:paraId="7AFB1730" w14:textId="77777777" w:rsidR="002A31CE" w:rsidRDefault="002A31C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8971FF" w14:paraId="33073E8E" w14:textId="77777777" w:rsidTr="00910FE0">
        <w:tc>
          <w:tcPr>
            <w:tcW w:w="8522" w:type="dxa"/>
          </w:tcPr>
          <w:p w14:paraId="0DB57D82" w14:textId="520DCE3C" w:rsidR="00F31D7A" w:rsidRDefault="00F31D7A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C9B74" w14:textId="3FFFADB1" w:rsidR="006667FE" w:rsidRDefault="00C826C1" w:rsidP="0066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6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810D6F">
              <w:rPr>
                <w:rFonts w:ascii="Arial" w:hAnsi="Arial" w:cs="Arial"/>
                <w:sz w:val="20"/>
                <w:szCs w:val="20"/>
              </w:rPr>
              <w:t>Specialist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 M&amp;E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is responsible for the </w:t>
            </w:r>
            <w:r w:rsidRPr="00C826C1">
              <w:rPr>
                <w:rFonts w:ascii="Arial" w:hAnsi="Arial" w:cs="Arial"/>
                <w:sz w:val="20"/>
                <w:szCs w:val="20"/>
              </w:rPr>
              <w:t xml:space="preserve">monitoring, </w:t>
            </w:r>
            <w:r w:rsidR="00810D6F">
              <w:rPr>
                <w:rFonts w:ascii="Arial" w:hAnsi="Arial" w:cs="Arial"/>
                <w:sz w:val="20"/>
                <w:szCs w:val="20"/>
              </w:rPr>
              <w:t>evaluation and reporting of the Joint UN Programme on S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RHR/HIV and GBV Integration,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810D6F">
              <w:rPr>
                <w:rFonts w:ascii="Arial" w:hAnsi="Arial" w:cs="Arial"/>
                <w:sz w:val="20"/>
                <w:szCs w:val="20"/>
              </w:rPr>
              <w:t>Strategic Information Activities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 and provides programmatic support to countries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S/he provides support to ensure the effective 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implementation,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monitoring and evaluation of the efforts of UNFPA on HIV prevention: </w:t>
            </w:r>
          </w:p>
          <w:p w14:paraId="41045F99" w14:textId="77777777" w:rsidR="00C826C1" w:rsidRPr="00C826C1" w:rsidRDefault="00C826C1" w:rsidP="0066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43BBC" w14:textId="52CA6015" w:rsidR="00C826C1" w:rsidRPr="00C826C1" w:rsidRDefault="00C826C1" w:rsidP="00C826C1">
            <w:pPr>
              <w:pStyle w:val="ListParagraph"/>
              <w:numPr>
                <w:ilvl w:val="0"/>
                <w:numId w:val="13"/>
              </w:numPr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6C1">
              <w:rPr>
                <w:rFonts w:ascii="Arial" w:hAnsi="Arial" w:cs="Arial"/>
                <w:sz w:val="20"/>
                <w:szCs w:val="20"/>
              </w:rPr>
              <w:t xml:space="preserve">Manage and provide guidance and oversight for overall monitoring and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evaluation, strategic information and </w:t>
            </w:r>
            <w:r w:rsidRPr="00C826C1">
              <w:rPr>
                <w:rFonts w:ascii="Arial" w:hAnsi="Arial" w:cs="Arial"/>
                <w:sz w:val="20"/>
                <w:szCs w:val="20"/>
              </w:rPr>
              <w:t>reporting at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regional and country levels</w:t>
            </w:r>
          </w:p>
          <w:p w14:paraId="031FA51B" w14:textId="2AEEBB5D" w:rsidR="00C826C1" w:rsidRPr="00810D6F" w:rsidRDefault="00810D6F" w:rsidP="00810D6F">
            <w:pPr>
              <w:pStyle w:val="ListParagraph"/>
              <w:numPr>
                <w:ilvl w:val="0"/>
                <w:numId w:val="13"/>
              </w:numPr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anage and coordinate </w:t>
            </w:r>
            <w:r>
              <w:rPr>
                <w:rFonts w:ascii="Arial" w:hAnsi="Arial" w:cs="Arial"/>
                <w:sz w:val="20"/>
                <w:szCs w:val="20"/>
              </w:rPr>
              <w:t>all M&amp;E and Strategic Information activities</w:t>
            </w:r>
            <w:r w:rsidR="00C826C1" w:rsidRPr="00C826C1">
              <w:rPr>
                <w:rFonts w:ascii="Arial" w:hAnsi="Arial" w:cs="Arial"/>
                <w:sz w:val="20"/>
                <w:szCs w:val="20"/>
              </w:rPr>
              <w:t>, including timely and quality reporting,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6C1" w:rsidRPr="00810D6F">
              <w:rPr>
                <w:rFonts w:ascii="Arial" w:hAnsi="Arial" w:cs="Arial"/>
                <w:sz w:val="20"/>
                <w:szCs w:val="20"/>
              </w:rPr>
              <w:t>knowledge generation and management;</w:t>
            </w:r>
          </w:p>
          <w:p w14:paraId="090096E5" w14:textId="436E0B86" w:rsidR="006667FE" w:rsidRPr="00810D6F" w:rsidRDefault="00C826C1" w:rsidP="006667FE">
            <w:pPr>
              <w:pStyle w:val="ListParagraph"/>
              <w:numPr>
                <w:ilvl w:val="0"/>
                <w:numId w:val="13"/>
              </w:numPr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6C1">
              <w:rPr>
                <w:rFonts w:ascii="Arial" w:hAnsi="Arial" w:cs="Arial"/>
                <w:sz w:val="20"/>
                <w:szCs w:val="20"/>
              </w:rPr>
              <w:t>Manage monitoring, reporting and contribute to the evaluation of the programme;</w:t>
            </w:r>
          </w:p>
          <w:p w14:paraId="0DEFD8D7" w14:textId="77777777" w:rsidR="00810D6F" w:rsidRDefault="00C826C1" w:rsidP="00810D6F">
            <w:pPr>
              <w:pStyle w:val="NormalWeb"/>
              <w:rPr>
                <w:rFonts w:asciiTheme="minorHAnsi" w:hAnsiTheme="minorHAnsi"/>
              </w:rPr>
            </w:pPr>
            <w:r w:rsidRPr="00C826C1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0D6F">
              <w:rPr>
                <w:rFonts w:asciiTheme="minorHAnsi" w:hAnsiTheme="minorHAnsi"/>
                <w:b/>
              </w:rPr>
              <w:t>Coordination and t</w:t>
            </w:r>
            <w:r w:rsidR="00810D6F" w:rsidRPr="001808D4">
              <w:rPr>
                <w:rFonts w:asciiTheme="minorHAnsi" w:hAnsiTheme="minorHAnsi"/>
                <w:b/>
              </w:rPr>
              <w:t>echnical support of monitoring and evaluation</w:t>
            </w:r>
            <w:r w:rsidR="00810D6F">
              <w:rPr>
                <w:rFonts w:asciiTheme="minorHAnsi" w:hAnsiTheme="minorHAnsi"/>
              </w:rPr>
              <w:t xml:space="preserve">: </w:t>
            </w:r>
          </w:p>
          <w:p w14:paraId="455E75DD" w14:textId="11B81026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>Coordinate the M&amp;E efforts of the four UN agencies and the ten participating countries to to track the resul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ts of the implementation of the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 Joint UN Regional Programme at regional and country level 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and the work of UNFPA on HIV prevention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based on the </w:t>
            </w:r>
            <w:r w:rsidR="00FD72D6">
              <w:rPr>
                <w:rFonts w:ascii="Arial" w:hAnsi="Arial" w:cs="Arial"/>
                <w:sz w:val="20"/>
                <w:szCs w:val="20"/>
              </w:rPr>
              <w:t>agreed upon results framework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7F14182" w14:textId="7C333A71" w:rsidR="00910FE0" w:rsidRPr="00910FE0" w:rsidRDefault="00FD72D6" w:rsidP="00910FE0">
            <w:pPr>
              <w:pStyle w:val="NormalWeb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Ensures that data is provided and collected against the agreed upon indicators using the defined r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 xml:space="preserve">eporting tools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 xml:space="preserve"> that the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SRHR/HIV 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 xml:space="preserve">programme results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those relating to UBRAF 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>are accurately captured, measured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and reported. </w:t>
            </w:r>
          </w:p>
          <w:p w14:paraId="4CBDAB2F" w14:textId="0266CD32" w:rsid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>Provide</w:t>
            </w:r>
            <w:r w:rsidR="00FD72D6">
              <w:rPr>
                <w:rFonts w:ascii="Arial" w:hAnsi="Arial" w:cs="Arial"/>
                <w:sz w:val="20"/>
                <w:szCs w:val="20"/>
              </w:rPr>
              <w:t>s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 technical support and build</w:t>
            </w:r>
            <w:r w:rsidR="00FD72D6">
              <w:rPr>
                <w:rFonts w:ascii="Arial" w:hAnsi="Arial" w:cs="Arial"/>
                <w:sz w:val="20"/>
                <w:szCs w:val="20"/>
              </w:rPr>
              <w:t>s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 the capacity of countries to ensure that the necessary M&amp;E systems are established to capture and report on progress in relation to the project,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and UNFPA activities on HIV prevention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and that reports are submitted timeously and to monitor data quality.  </w:t>
            </w:r>
          </w:p>
          <w:p w14:paraId="5404AA80" w14:textId="662D0108" w:rsidR="00910FE0" w:rsidRDefault="00FD72D6" w:rsidP="00910FE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Manages the collation of </w:t>
            </w:r>
            <w:r w:rsidR="00910FE0">
              <w:rPr>
                <w:rFonts w:ascii="Arial" w:hAnsi="Arial" w:cs="Arial"/>
                <w:sz w:val="20"/>
                <w:szCs w:val="20"/>
              </w:rPr>
              <w:t xml:space="preserve">baseline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10FE0">
              <w:rPr>
                <w:rFonts w:ascii="Arial" w:hAnsi="Arial" w:cs="Arial"/>
                <w:sz w:val="20"/>
                <w:szCs w:val="20"/>
              </w:rPr>
              <w:t>in relation to the M&amp;E Framework and ensure</w:t>
            </w:r>
            <w:r>
              <w:rPr>
                <w:rFonts w:ascii="Arial" w:hAnsi="Arial" w:cs="Arial"/>
                <w:sz w:val="20"/>
                <w:szCs w:val="20"/>
              </w:rPr>
              <w:t>s that agency and country reports are submitted by the</w:t>
            </w:r>
            <w:r w:rsidR="00910F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participating UN agencies and </w:t>
            </w:r>
            <w:r w:rsidR="00910FE0">
              <w:rPr>
                <w:rFonts w:ascii="Arial" w:hAnsi="Arial" w:cs="Arial"/>
                <w:sz w:val="20"/>
                <w:szCs w:val="20"/>
              </w:rPr>
              <w:t>countries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good time</w:t>
            </w:r>
            <w:r w:rsidR="00910F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512CF1" w14:textId="08BEC307" w:rsidR="00910FE0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Respond to technical requests from countries and undertake country visits to </w:t>
            </w:r>
            <w:r>
              <w:rPr>
                <w:rFonts w:ascii="Arial" w:hAnsi="Arial" w:cs="Arial"/>
                <w:sz w:val="20"/>
                <w:szCs w:val="20"/>
              </w:rPr>
              <w:t>support countries in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strengthening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M&amp;E systems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identify adaptations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as may </w:t>
            </w:r>
            <w:r w:rsidRPr="00810D6F">
              <w:rPr>
                <w:rFonts w:ascii="Arial" w:hAnsi="Arial" w:cs="Arial"/>
                <w:sz w:val="20"/>
                <w:szCs w:val="20"/>
              </w:rPr>
              <w:t>be needed.</w:t>
            </w:r>
          </w:p>
          <w:p w14:paraId="194C9719" w14:textId="315CB3BD" w:rsidR="00FD72D6" w:rsidRPr="00FD72D6" w:rsidRDefault="00FD72D6" w:rsidP="00FD72D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 with the Programme Manager and the Regional Interagency Working Group in designing the mid-term and end of project evaluation. </w:t>
            </w:r>
          </w:p>
          <w:p w14:paraId="235D06FD" w14:textId="0FC05C6F" w:rsidR="00810D6F" w:rsidRDefault="00910FE0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</w:t>
            </w:r>
            <w:r w:rsidR="00FD72D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develop</w:t>
            </w:r>
            <w:r w:rsidR="00FD72D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programmatic reports for donors and the Regional Programme Steering Committee on progress made at regional and country level. </w:t>
            </w:r>
          </w:p>
          <w:p w14:paraId="4EB72DFA" w14:textId="77777777" w:rsidR="00C526C0" w:rsidRDefault="00C526C0" w:rsidP="00C526C0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6B9F05" w14:textId="77777777" w:rsidR="00C526C0" w:rsidRDefault="00C526C0" w:rsidP="00C526C0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3FC63A9" w14:textId="77777777" w:rsidR="00910FE0" w:rsidRDefault="00910FE0" w:rsidP="00910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4882F8C" w14:textId="6794F017" w:rsidR="00910FE0" w:rsidRPr="00910FE0" w:rsidRDefault="00910FE0" w:rsidP="00910FE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 w:rsidRPr="00910FE0">
              <w:rPr>
                <w:rFonts w:asciiTheme="minorHAnsi" w:hAnsiTheme="minorHAnsi" w:cs="Arial"/>
                <w:b/>
              </w:rPr>
              <w:t xml:space="preserve">B.  Strategic Information </w:t>
            </w:r>
          </w:p>
          <w:p w14:paraId="1EE7E030" w14:textId="1D9B8BDC" w:rsidR="00910FE0" w:rsidRPr="00910FE0" w:rsidRDefault="00810D6F" w:rsidP="00910FE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Coordinate the efforts of the UN partners to support countries to strengthen their national health management information systems so that they are able to monitor the provision of integrated SRHR/HIV and SGBV services. </w:t>
            </w:r>
          </w:p>
          <w:p w14:paraId="6C9D571D" w14:textId="77777777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>Work with UNAIDS and the UNFPA Strategic Information Units to integrate key indicators relating to SRHR and GBV into the regional information hub and country situation rooms.</w:t>
            </w:r>
          </w:p>
          <w:p w14:paraId="6B23F77B" w14:textId="77777777" w:rsidR="00810D6F" w:rsidRPr="00810D6F" w:rsidRDefault="00810D6F" w:rsidP="00810D6F">
            <w:pPr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0D6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W"/>
              </w:rPr>
              <w:t>Work with the four UN partners and the 10 participating countries to produce annual updates on SRHR/HIV and SGBV to track regional and country progress in meeting national/regional targets.</w:t>
            </w:r>
          </w:p>
          <w:p w14:paraId="5DDA24F0" w14:textId="77777777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Document lessons learnt, share knowledge and disseminate good practices, on the monitoring and evaluation of SRHR/HIV and SGBV in the ESA region; </w:t>
            </w:r>
          </w:p>
          <w:p w14:paraId="14C803C0" w14:textId="77777777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Support countries to prepare manuscripts and abstracts for submission to international, regional and national journals, conferences and other fora to share lessons learnt. </w:t>
            </w:r>
          </w:p>
          <w:p w14:paraId="58449A31" w14:textId="77777777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Facilitate, act as resource person, and join if required any external supervision and evaluation missions. </w:t>
            </w:r>
          </w:p>
          <w:p w14:paraId="5ADC218A" w14:textId="77777777" w:rsidR="00810D6F" w:rsidRPr="00810D6F" w:rsidRDefault="00810D6F" w:rsidP="00810D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FDF" w14:textId="57CB8137" w:rsidR="00810D6F" w:rsidRPr="00910FE0" w:rsidRDefault="00910FE0" w:rsidP="00810D6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C. </w:t>
            </w:r>
            <w:r w:rsidR="00810D6F" w:rsidRPr="00910FE0">
              <w:rPr>
                <w:rFonts w:asciiTheme="minorHAnsi" w:hAnsiTheme="minorHAnsi" w:cs="Arial"/>
                <w:b/>
              </w:rPr>
              <w:t xml:space="preserve">Development of work plans and reporting </w:t>
            </w:r>
          </w:p>
          <w:p w14:paraId="6EA507B3" w14:textId="77777777" w:rsidR="00810D6F" w:rsidRPr="00810D6F" w:rsidRDefault="00810D6F" w:rsidP="00810D6F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Review and provide input in the preparation of annual country work plans from an M&amp;E perspective and ensure that the monitoring and evaluation indicators are aligned to the M&amp;E Framework. </w:t>
            </w:r>
          </w:p>
          <w:p w14:paraId="4C254820" w14:textId="77777777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Coordinate the development of a semi-annual, annual and other project reports as may be required that shows progress in relation to the results framework at country and regional level, with a focus on impact. </w:t>
            </w:r>
          </w:p>
          <w:p w14:paraId="4D4CD542" w14:textId="77777777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Develop and present annual programme results to the Regional Programme Steering Committee that captures both the direct and catalytic actions of the programme. </w:t>
            </w:r>
          </w:p>
          <w:p w14:paraId="179E1275" w14:textId="77777777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Provide an analysis of the data, its implications for programme implementation and initiate operational research activities that will inform and strengthen programme implementation. </w:t>
            </w:r>
          </w:p>
          <w:p w14:paraId="2636BEF0" w14:textId="77777777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Oversee the design of the mid-term and end-of-project evaluation in collaboration with the four partner agencies and the ten countries and its implications for programme management.  </w:t>
            </w:r>
          </w:p>
          <w:p w14:paraId="2A3CA767" w14:textId="12A8992D" w:rsidR="00810A73" w:rsidRPr="00810A73" w:rsidRDefault="00810A73" w:rsidP="00810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EDD1A" w14:textId="77777777" w:rsidR="006667FE" w:rsidRDefault="006667FE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5219D" w14:textId="77777777" w:rsidR="006667FE" w:rsidRPr="001544A3" w:rsidRDefault="006667FE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F7A21B" w14:textId="77777777" w:rsidR="00241EF9" w:rsidRDefault="00241EF9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3212BB74" w14:textId="77777777" w:rsidR="002A31CE" w:rsidRDefault="002A31CE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Work Relations</w:t>
      </w:r>
    </w:p>
    <w:p w14:paraId="13AE1C39" w14:textId="77777777" w:rsidR="002A31CE" w:rsidRDefault="002A31CE" w:rsidP="002A31C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1544A3" w14:paraId="2A799618" w14:textId="77777777" w:rsidTr="001544A3">
        <w:tc>
          <w:tcPr>
            <w:tcW w:w="8748" w:type="dxa"/>
          </w:tcPr>
          <w:p w14:paraId="197D6A56" w14:textId="77777777" w:rsidR="00F31D7A" w:rsidRDefault="00F31D7A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51E7C" w14:textId="1EC0A5A7" w:rsidR="00810A73" w:rsidRPr="00810A73" w:rsidRDefault="00810A73" w:rsidP="0081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A73">
              <w:rPr>
                <w:rFonts w:ascii="Arial" w:hAnsi="Arial" w:cs="Arial"/>
                <w:sz w:val="20"/>
                <w:szCs w:val="20"/>
              </w:rPr>
              <w:t>External partners include the programme's main donor (</w:t>
            </w:r>
            <w:r w:rsidR="00E669EB">
              <w:rPr>
                <w:rFonts w:ascii="Arial" w:hAnsi="Arial" w:cs="Arial"/>
                <w:sz w:val="20"/>
                <w:szCs w:val="20"/>
              </w:rPr>
              <w:t>Sweden</w:t>
            </w:r>
            <w:r w:rsidRPr="00810A73">
              <w:rPr>
                <w:rFonts w:ascii="Arial" w:hAnsi="Arial" w:cs="Arial"/>
                <w:sz w:val="20"/>
                <w:szCs w:val="20"/>
              </w:rPr>
              <w:t>), UN agencies</w:t>
            </w:r>
            <w:r w:rsidR="00E669EB">
              <w:rPr>
                <w:rFonts w:ascii="Arial" w:hAnsi="Arial" w:cs="Arial"/>
                <w:sz w:val="20"/>
                <w:szCs w:val="20"/>
              </w:rPr>
              <w:t xml:space="preserve"> in particular the regional teams of UNAIDS, UNICEF and WHO</w:t>
            </w:r>
            <w:r w:rsidRPr="00810A73">
              <w:rPr>
                <w:rFonts w:ascii="Arial" w:hAnsi="Arial" w:cs="Arial"/>
                <w:sz w:val="20"/>
                <w:szCs w:val="20"/>
              </w:rPr>
              <w:t>,</w:t>
            </w:r>
            <w:r w:rsidR="00272E4B">
              <w:rPr>
                <w:rFonts w:ascii="Arial" w:hAnsi="Arial" w:cs="Arial"/>
                <w:sz w:val="20"/>
                <w:szCs w:val="20"/>
              </w:rPr>
              <w:t xml:space="preserve"> donor and the participating governments of the countries concerned, </w:t>
            </w:r>
            <w:r w:rsidRPr="00810A73">
              <w:rPr>
                <w:rFonts w:ascii="Arial" w:hAnsi="Arial" w:cs="Arial"/>
                <w:sz w:val="20"/>
                <w:szCs w:val="20"/>
              </w:rPr>
              <w:t>NGOs, Academia,</w:t>
            </w:r>
            <w:r w:rsidR="0027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A73">
              <w:rPr>
                <w:rFonts w:ascii="Arial" w:hAnsi="Arial" w:cs="Arial"/>
                <w:sz w:val="20"/>
                <w:szCs w:val="20"/>
              </w:rPr>
              <w:t xml:space="preserve">Research Institutions, professional associations, and international experts, in developing a network of technical experts and institutions for technical and programme support. </w:t>
            </w:r>
          </w:p>
          <w:p w14:paraId="714F728E" w14:textId="77777777" w:rsidR="00810A73" w:rsidRDefault="00810A73" w:rsidP="0081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AA700" w14:textId="7F7A53D0" w:rsidR="006667FE" w:rsidRPr="00810A73" w:rsidRDefault="0027031B" w:rsidP="0066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C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sz w:val="20"/>
                <w:szCs w:val="20"/>
              </w:rPr>
              <w:t>Specialist</w:t>
            </w:r>
            <w:r w:rsidR="00C526C0">
              <w:rPr>
                <w:rFonts w:ascii="Arial" w:hAnsi="Arial" w:cs="Arial"/>
                <w:sz w:val="20"/>
                <w:szCs w:val="20"/>
              </w:rPr>
              <w:t xml:space="preserve"> M&amp;E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will work closely </w:t>
            </w:r>
            <w:r>
              <w:rPr>
                <w:rFonts w:ascii="Arial" w:hAnsi="Arial" w:cs="Arial"/>
                <w:sz w:val="20"/>
                <w:szCs w:val="20"/>
              </w:rPr>
              <w:t xml:space="preserve">to coordinate the monitoring and reporting on programme performance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C526C0">
              <w:rPr>
                <w:rFonts w:ascii="Arial" w:hAnsi="Arial" w:cs="Arial"/>
                <w:sz w:val="20"/>
                <w:szCs w:val="20"/>
              </w:rPr>
              <w:t>the M&amp;E A</w:t>
            </w:r>
            <w:r>
              <w:rPr>
                <w:rFonts w:ascii="Arial" w:hAnsi="Arial" w:cs="Arial"/>
                <w:sz w:val="20"/>
                <w:szCs w:val="20"/>
              </w:rPr>
              <w:t>dvisor and the M&amp;E Manager of the Safeguard Young People Programme. S/he will work with i</w:t>
            </w:r>
            <w:r w:rsidR="00810A73" w:rsidRPr="00810A73">
              <w:rPr>
                <w:rFonts w:ascii="Arial" w:hAnsi="Arial" w:cs="Arial"/>
                <w:sz w:val="20"/>
                <w:szCs w:val="20"/>
              </w:rPr>
              <w:t>nternal partners includ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810A73" w:rsidRPr="00810A73">
              <w:rPr>
                <w:rFonts w:ascii="Arial" w:hAnsi="Arial" w:cs="Arial"/>
                <w:sz w:val="20"/>
                <w:szCs w:val="20"/>
              </w:rPr>
              <w:t xml:space="preserve"> UNFPA ESARO programme, operational and technical staff, resource mobilisation and partnership Adviser, Communication Team; programme and technical staff in UNFPA country offices involved in the programme;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relevant UNFPA headquarters units. </w:t>
            </w:r>
            <w:r w:rsidR="00810A73" w:rsidRPr="00810A73">
              <w:rPr>
                <w:rFonts w:ascii="Arial" w:hAnsi="Arial" w:cs="Arial"/>
                <w:sz w:val="20"/>
                <w:szCs w:val="20"/>
              </w:rPr>
              <w:t xml:space="preserve"> In all activities, s/he supports the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Project Coordinator </w:t>
            </w:r>
            <w:r w:rsidR="00272E4B">
              <w:rPr>
                <w:rFonts w:ascii="Arial" w:hAnsi="Arial" w:cs="Arial"/>
                <w:sz w:val="20"/>
                <w:szCs w:val="20"/>
              </w:rPr>
              <w:t xml:space="preserve">and the HIV Adviser </w:t>
            </w:r>
            <w:r w:rsidR="00810D6F">
              <w:rPr>
                <w:rFonts w:ascii="Arial" w:hAnsi="Arial" w:cs="Arial"/>
                <w:sz w:val="20"/>
                <w:szCs w:val="20"/>
              </w:rPr>
              <w:t>to foster</w:t>
            </w:r>
            <w:r w:rsidR="00810A73" w:rsidRPr="00810A73">
              <w:rPr>
                <w:rFonts w:ascii="Arial" w:hAnsi="Arial" w:cs="Arial"/>
                <w:sz w:val="20"/>
                <w:szCs w:val="20"/>
              </w:rPr>
              <w:t xml:space="preserve"> collaboration within the Integrated SRHR Unit and Regional Office, particularly amongst the team involved in the implementation of the programme.</w:t>
            </w:r>
          </w:p>
          <w:p w14:paraId="381576C1" w14:textId="77777777" w:rsidR="006667FE" w:rsidRPr="001544A3" w:rsidRDefault="006667FE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7FD13E" w14:textId="77777777" w:rsidR="00241EF9" w:rsidRDefault="00241EF9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638AE5AD" w14:textId="77777777" w:rsidR="002A31CE" w:rsidRDefault="002A31CE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Job Requirements</w:t>
      </w:r>
    </w:p>
    <w:p w14:paraId="629A19DA" w14:textId="77777777" w:rsidR="007D4218" w:rsidRDefault="007D4218" w:rsidP="002A31C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CD110D" w14:paraId="7E068BD3" w14:textId="77777777" w:rsidTr="001544A3">
        <w:trPr>
          <w:trHeight w:val="2582"/>
        </w:trPr>
        <w:tc>
          <w:tcPr>
            <w:tcW w:w="8748" w:type="dxa"/>
          </w:tcPr>
          <w:p w14:paraId="4CDEB1A3" w14:textId="0F99EA0B" w:rsidR="00AB6835" w:rsidRPr="00CD110D" w:rsidRDefault="00CB7D36" w:rsidP="00AB6835">
            <w:pPr>
              <w:numPr>
                <w:ilvl w:val="0"/>
                <w:numId w:val="23"/>
              </w:numPr>
              <w:ind w:left="0"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 xml:space="preserve">Education:  </w:t>
            </w:r>
            <w:r w:rsidR="00CD110D"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 Degree in Statistics, Demography, Social Sciences, or Public Health; Postgraduate training in monitoring and evaluation an added advantage.</w:t>
            </w:r>
          </w:p>
          <w:p w14:paraId="16519435" w14:textId="77777777" w:rsidR="00CB7D36" w:rsidRPr="00CD110D" w:rsidRDefault="00CB7D36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EF5A6" w14:textId="3549BA13" w:rsidR="0087520E" w:rsidRDefault="00CB7D36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 xml:space="preserve">Knowledge and Experience: </w:t>
            </w:r>
          </w:p>
          <w:p w14:paraId="68743202" w14:textId="77777777" w:rsidR="00BF6FE5" w:rsidRPr="00BF6FE5" w:rsidRDefault="00BF6FE5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D239C" w14:textId="7C968DB6" w:rsidR="00CD110D" w:rsidRPr="00CD110D" w:rsidRDefault="00BF6FE5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bookmarkStart w:id="2" w:name="_GoBack"/>
            <w:bookmarkEnd w:id="2"/>
            <w:r w:rsidR="00CD110D"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years’ experience in monitoring and evaluation, results based programme development and management.</w:t>
            </w:r>
          </w:p>
          <w:p w14:paraId="76BC1759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Experience in developing indicators, data collection tools, M&amp;E plans and results frameworks in HIV and SRH. </w:t>
            </w:r>
          </w:p>
          <w:p w14:paraId="28D89EF4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Knowledge of National Health Information Systems desirable. </w:t>
            </w:r>
          </w:p>
          <w:p w14:paraId="1956C698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Ability to write clear and comprehensive reports. </w:t>
            </w:r>
          </w:p>
          <w:p w14:paraId="310D616D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Experience in capacity building on M&amp;E. </w:t>
            </w:r>
          </w:p>
          <w:p w14:paraId="695F72E1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computer skills especially Access, Excel, SPSS and GIS.</w:t>
            </w:r>
          </w:p>
          <w:p w14:paraId="6D788602" w14:textId="2E4AA188" w:rsidR="00D52832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Fluent in English with excellent writing, analysis and communication skills Excellent Writing skills in English. Knowledge of other UN language is an asset.</w:t>
            </w:r>
          </w:p>
          <w:p w14:paraId="43B9DCCF" w14:textId="77777777" w:rsidR="00D52832" w:rsidRPr="00CD110D" w:rsidRDefault="00D52832" w:rsidP="00D52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8C232" w14:textId="77777777" w:rsidR="00D52832" w:rsidRPr="00CD110D" w:rsidRDefault="00D52832" w:rsidP="00D52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EDF92" w14:textId="77777777" w:rsidR="00D52832" w:rsidRPr="00CD110D" w:rsidRDefault="00D52832" w:rsidP="00D528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Required Competencies:</w:t>
            </w:r>
          </w:p>
          <w:p w14:paraId="2F738AA1" w14:textId="77777777" w:rsidR="00D52832" w:rsidRPr="00CD110D" w:rsidRDefault="00D52832" w:rsidP="00D52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A0ADE" w14:textId="77777777" w:rsidR="00D52832" w:rsidRPr="00CD110D" w:rsidRDefault="00D52832" w:rsidP="00D52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1998BE" wp14:editId="0E0594C2">
                  <wp:extent cx="3803650" cy="1485900"/>
                  <wp:effectExtent l="0" t="0" r="6350" b="0"/>
                  <wp:docPr id="3" name="Picture 3" descr="C:\Users\colic\AppData\Local\Microsoft\Windows\Temporary Internet Files\Content.IE5\RX61FJ9O\Just The 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ic\AppData\Local\Microsoft\Windows\Temporary Internet Files\Content.IE5\RX61FJ9O\Just The 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FD251" w14:textId="77777777" w:rsidR="00D52832" w:rsidRPr="00CD110D" w:rsidRDefault="00D52832" w:rsidP="00AB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46E60" w14:textId="77777777" w:rsidR="00D52832" w:rsidRPr="00CD110D" w:rsidRDefault="00D52832" w:rsidP="00AB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B49F0" w14:textId="77777777" w:rsidR="00D52832" w:rsidRPr="00CD110D" w:rsidRDefault="00D52832" w:rsidP="00AB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08022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Values:</w:t>
            </w:r>
          </w:p>
          <w:p w14:paraId="6070939B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Exemplifying integrity</w:t>
            </w:r>
          </w:p>
          <w:p w14:paraId="59DB99DE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Demonstrating commitment to UNFPA and the UN system</w:t>
            </w:r>
          </w:p>
          <w:p w14:paraId="58AABD74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Embracing cultural diversity</w:t>
            </w:r>
          </w:p>
          <w:p w14:paraId="2932E2E2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Embracing change</w:t>
            </w:r>
          </w:p>
          <w:p w14:paraId="2036C67B" w14:textId="77777777" w:rsidR="00D512CB" w:rsidRPr="00CD110D" w:rsidRDefault="00D512CB" w:rsidP="00D5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91002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Core Competencies:</w:t>
            </w:r>
          </w:p>
          <w:p w14:paraId="099806D4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Achieving results</w:t>
            </w:r>
          </w:p>
          <w:p w14:paraId="284AAE49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Being accountable</w:t>
            </w:r>
          </w:p>
          <w:p w14:paraId="540CF3FF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Developing and applying professional expertise/ business acumen</w:t>
            </w:r>
          </w:p>
          <w:p w14:paraId="0FF95070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Thinking analytically and strategically</w:t>
            </w:r>
          </w:p>
          <w:p w14:paraId="6A8F8126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Working in teams/ managing ourselves and our relationships</w:t>
            </w:r>
          </w:p>
          <w:p w14:paraId="1E5A6BF1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Communicating for impact</w:t>
            </w:r>
          </w:p>
          <w:p w14:paraId="0DEBCDED" w14:textId="77777777" w:rsidR="00D512CB" w:rsidRPr="00CD110D" w:rsidRDefault="00D512CB" w:rsidP="00D5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7BA9E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Managerial Competencies:</w:t>
            </w:r>
          </w:p>
          <w:p w14:paraId="1CCEF7BF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Providing strategic focus</w:t>
            </w:r>
          </w:p>
          <w:p w14:paraId="4B0324A4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Engaging internal/ external partners and stakeholders</w:t>
            </w:r>
          </w:p>
          <w:p w14:paraId="52A181A4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Leading, developing and empowering people/ creating a culture of performance</w:t>
            </w:r>
          </w:p>
          <w:p w14:paraId="18F75728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Making decisions and exercising judgment</w:t>
            </w:r>
          </w:p>
          <w:p w14:paraId="63D7668E" w14:textId="77777777" w:rsidR="00D512CB" w:rsidRPr="00CD110D" w:rsidRDefault="00D512CB" w:rsidP="00D5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64B4C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Functional Skill Set:</w:t>
            </w:r>
          </w:p>
          <w:p w14:paraId="10038A2A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Advocacy/ Advancing a policy-oriented agenda</w:t>
            </w:r>
          </w:p>
          <w:p w14:paraId="72D821C8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Leveraging the resources of national governments and partners/ building strategic alliances and partnerships</w:t>
            </w:r>
          </w:p>
          <w:p w14:paraId="6894DC28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Delivering results-based programme</w:t>
            </w:r>
          </w:p>
          <w:p w14:paraId="31CED6F4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Internal and external communication and advocacy for results mobilization</w:t>
            </w:r>
          </w:p>
          <w:p w14:paraId="6719221C" w14:textId="77777777" w:rsidR="002A31CE" w:rsidRPr="00CD110D" w:rsidRDefault="002A31CE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E7359" w14:textId="77777777" w:rsidR="004B7CC6" w:rsidRPr="00CD110D" w:rsidRDefault="00F7608A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 xml:space="preserve">Languages: </w:t>
            </w:r>
          </w:p>
          <w:p w14:paraId="58DBFBBE" w14:textId="77777777" w:rsidR="004B7CC6" w:rsidRPr="00CD110D" w:rsidRDefault="004B7CC6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57CC5" w14:textId="77777777" w:rsidR="00F7608A" w:rsidRPr="00CD110D" w:rsidRDefault="005F0A0F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Fluency in English. Depending on the duty station, a working knowledge of another UN language suc</w:t>
            </w:r>
            <w:r w:rsidR="00CA04A3" w:rsidRPr="00CD110D">
              <w:rPr>
                <w:rFonts w:ascii="Arial" w:hAnsi="Arial" w:cs="Arial"/>
                <w:sz w:val="20"/>
                <w:szCs w:val="20"/>
              </w:rPr>
              <w:t xml:space="preserve">h as French, Spanish, Arabic, </w:t>
            </w:r>
            <w:r w:rsidRPr="00CD110D">
              <w:rPr>
                <w:rFonts w:ascii="Arial" w:hAnsi="Arial" w:cs="Arial"/>
                <w:sz w:val="20"/>
                <w:szCs w:val="20"/>
              </w:rPr>
              <w:t>Chinese or Russian may be required.</w:t>
            </w:r>
          </w:p>
          <w:p w14:paraId="0CA055C1" w14:textId="77777777" w:rsidR="00286804" w:rsidRPr="00CD110D" w:rsidRDefault="00286804" w:rsidP="00DA0E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2F1F21" w14:textId="77777777" w:rsidR="002A31CE" w:rsidRDefault="002A31CE" w:rsidP="002A31CE">
      <w:pPr>
        <w:rPr>
          <w:rFonts w:ascii="Arial" w:hAnsi="Arial" w:cs="Arial"/>
          <w:b/>
          <w:sz w:val="20"/>
          <w:szCs w:val="20"/>
        </w:rPr>
      </w:pPr>
    </w:p>
    <w:p w14:paraId="16CA0A09" w14:textId="77777777" w:rsidR="006667FE" w:rsidRDefault="006667FE" w:rsidP="002A31CE">
      <w:pPr>
        <w:rPr>
          <w:rFonts w:ascii="Arial" w:hAnsi="Arial" w:cs="Arial"/>
          <w:b/>
          <w:sz w:val="20"/>
          <w:szCs w:val="20"/>
        </w:rPr>
      </w:pPr>
    </w:p>
    <w:p w14:paraId="5FEFB4F6" w14:textId="77777777" w:rsidR="006667FE" w:rsidRDefault="006667FE" w:rsidP="002A31CE">
      <w:pPr>
        <w:rPr>
          <w:rFonts w:ascii="Arial" w:hAnsi="Arial" w:cs="Arial"/>
          <w:b/>
          <w:sz w:val="20"/>
          <w:szCs w:val="20"/>
        </w:rPr>
      </w:pPr>
    </w:p>
    <w:p w14:paraId="09FE3C54" w14:textId="77777777" w:rsidR="00A61ACE" w:rsidRPr="00996E72" w:rsidRDefault="00A61ACE" w:rsidP="002A31CE">
      <w:pPr>
        <w:rPr>
          <w:rFonts w:ascii="Arial" w:hAnsi="Arial" w:cs="Arial"/>
          <w:b/>
          <w:sz w:val="20"/>
          <w:szCs w:val="20"/>
        </w:rPr>
      </w:pPr>
    </w:p>
    <w:p w14:paraId="795D18C3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>Signatures/Certification:</w:t>
      </w:r>
    </w:p>
    <w:p w14:paraId="038BDE2A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</w:p>
    <w:p w14:paraId="27D6A556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4313"/>
      </w:tblGrid>
      <w:tr w:rsidR="00B90231" w:rsidRPr="001544A3" w14:paraId="695B3771" w14:textId="77777777" w:rsidTr="001544A3">
        <w:trPr>
          <w:trHeight w:val="332"/>
        </w:trPr>
        <w:tc>
          <w:tcPr>
            <w:tcW w:w="4320" w:type="dxa"/>
            <w:vAlign w:val="center"/>
          </w:tcPr>
          <w:p w14:paraId="709190EE" w14:textId="77777777" w:rsidR="00FE2DBA" w:rsidRPr="001544A3" w:rsidRDefault="00FE2DBA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1FF9C" w14:textId="77777777" w:rsidR="00FE2DBA" w:rsidRPr="001544A3" w:rsidRDefault="00FE2DBA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7D4F7" w14:textId="77777777" w:rsidR="00F31D7A" w:rsidRPr="001544A3" w:rsidRDefault="00B90231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Incumbent’s </w:t>
            </w:r>
            <w:r w:rsidR="00F31D7A" w:rsidRPr="001544A3"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  <w:p w14:paraId="4D620B01" w14:textId="77777777" w:rsidR="00B90231" w:rsidRPr="001544A3" w:rsidRDefault="00B90231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428" w:type="dxa"/>
            <w:vAlign w:val="center"/>
          </w:tcPr>
          <w:p w14:paraId="454D0832" w14:textId="77777777" w:rsidR="00B90231" w:rsidRPr="001544A3" w:rsidRDefault="00B90231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0300B" w14:textId="77777777" w:rsidR="00FE2DBA" w:rsidRPr="001544A3" w:rsidRDefault="00FE2DB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FF395" w14:textId="77777777" w:rsidR="00FE2DBA" w:rsidRPr="001544A3" w:rsidRDefault="00FE2DB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06FF3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Incumbent's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2AC3886F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5C4EB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046DC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90231" w:rsidRPr="001544A3" w14:paraId="72680C0C" w14:textId="77777777" w:rsidTr="001544A3">
        <w:trPr>
          <w:trHeight w:val="198"/>
        </w:trPr>
        <w:tc>
          <w:tcPr>
            <w:tcW w:w="4320" w:type="dxa"/>
          </w:tcPr>
          <w:p w14:paraId="6B6ADBDD" w14:textId="77777777" w:rsidR="00B90231" w:rsidRPr="001544A3" w:rsidRDefault="00B90231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D81AA1D" w14:textId="77777777" w:rsidR="00B90231" w:rsidRPr="001544A3" w:rsidRDefault="00B90231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0231" w:rsidRPr="001544A3" w14:paraId="05CC957E" w14:textId="77777777" w:rsidTr="001544A3">
        <w:trPr>
          <w:trHeight w:val="738"/>
        </w:trPr>
        <w:tc>
          <w:tcPr>
            <w:tcW w:w="4320" w:type="dxa"/>
            <w:vAlign w:val="center"/>
          </w:tcPr>
          <w:p w14:paraId="1CA32FC2" w14:textId="77777777" w:rsidR="00F31D7A" w:rsidRPr="001544A3" w:rsidRDefault="00F31D7A" w:rsidP="00F31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Immediate Supervisor’s Name &amp; Signature </w:t>
            </w:r>
          </w:p>
          <w:p w14:paraId="3B6BE1A5" w14:textId="77777777" w:rsidR="00F31D7A" w:rsidRPr="001544A3" w:rsidRDefault="00F31D7A" w:rsidP="00F31D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14:paraId="34BC4B50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203C5" w14:textId="77777777" w:rsidR="00B90231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Supervisor's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00776FE4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C30B5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5500B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0231" w:rsidRPr="001544A3" w14:paraId="55334D07" w14:textId="77777777" w:rsidTr="001544A3">
        <w:trPr>
          <w:trHeight w:val="530"/>
        </w:trPr>
        <w:tc>
          <w:tcPr>
            <w:tcW w:w="4320" w:type="dxa"/>
            <w:vAlign w:val="center"/>
          </w:tcPr>
          <w:p w14:paraId="148FC5B0" w14:textId="77777777" w:rsidR="00F31D7A" w:rsidRPr="001544A3" w:rsidRDefault="00F31D7A" w:rsidP="00F31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Division Director’s Name &amp; Signature </w:t>
            </w:r>
          </w:p>
          <w:p w14:paraId="6A9FAC47" w14:textId="77777777" w:rsidR="00B90231" w:rsidRPr="001544A3" w:rsidRDefault="00B90231" w:rsidP="001D6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14:paraId="0AA11A9B" w14:textId="77777777" w:rsidR="00B90231" w:rsidRPr="001544A3" w:rsidRDefault="00B90231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6549E" w14:textId="77777777" w:rsidR="00FE2DBA" w:rsidRPr="001544A3" w:rsidRDefault="00FE2DB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926F5" w14:textId="77777777" w:rsidR="00F31D7A" w:rsidRPr="001544A3" w:rsidRDefault="00D61554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er Division Director's Name Here&gt;"/>
                  </w:textInput>
                </w:ffData>
              </w:fldCha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Division Director's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20884FB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27451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506D1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EEA" w:rsidRPr="001544A3" w14:paraId="1A2DD9F6" w14:textId="77777777" w:rsidTr="001544A3">
        <w:trPr>
          <w:trHeight w:val="530"/>
        </w:trPr>
        <w:tc>
          <w:tcPr>
            <w:tcW w:w="4320" w:type="dxa"/>
            <w:vAlign w:val="center"/>
          </w:tcPr>
          <w:p w14:paraId="2C1EDBDD" w14:textId="77777777" w:rsidR="00450EEA" w:rsidRPr="001544A3" w:rsidRDefault="00450EEA" w:rsidP="001D6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14:paraId="36E56A5A" w14:textId="77777777" w:rsidR="00450EEA" w:rsidRPr="001544A3" w:rsidRDefault="00450EE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0F6EFB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</w:p>
    <w:p w14:paraId="2721915D" w14:textId="77777777" w:rsidR="001D6F8F" w:rsidRDefault="001D6F8F" w:rsidP="00B90231">
      <w:pPr>
        <w:rPr>
          <w:rFonts w:ascii="Arial" w:hAnsi="Arial" w:cs="Arial"/>
          <w:b/>
          <w:sz w:val="20"/>
          <w:szCs w:val="20"/>
        </w:rPr>
      </w:pPr>
    </w:p>
    <w:p w14:paraId="4DD27221" w14:textId="77777777" w:rsidR="001D6F8F" w:rsidRPr="00996E72" w:rsidRDefault="001D6F8F" w:rsidP="00B90231">
      <w:pPr>
        <w:rPr>
          <w:rFonts w:ascii="Arial" w:hAnsi="Arial" w:cs="Arial"/>
          <w:b/>
          <w:sz w:val="20"/>
          <w:szCs w:val="20"/>
        </w:rPr>
      </w:pPr>
    </w:p>
    <w:sectPr w:rsidR="001D6F8F" w:rsidRPr="00996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6B499" w14:textId="77777777" w:rsidR="001D6FA9" w:rsidRDefault="001D6FA9">
      <w:r>
        <w:separator/>
      </w:r>
    </w:p>
  </w:endnote>
  <w:endnote w:type="continuationSeparator" w:id="0">
    <w:p w14:paraId="1B92B383" w14:textId="77777777" w:rsidR="001D6FA9" w:rsidRDefault="001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F327" w14:textId="77777777" w:rsidR="001D6FA9" w:rsidRDefault="001D6FA9">
      <w:r>
        <w:separator/>
      </w:r>
    </w:p>
  </w:footnote>
  <w:footnote w:type="continuationSeparator" w:id="0">
    <w:p w14:paraId="187A7DC0" w14:textId="77777777" w:rsidR="001D6FA9" w:rsidRDefault="001D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61"/>
    <w:multiLevelType w:val="hybridMultilevel"/>
    <w:tmpl w:val="09B00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A2574"/>
    <w:multiLevelType w:val="hybridMultilevel"/>
    <w:tmpl w:val="126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4663"/>
    <w:multiLevelType w:val="hybridMultilevel"/>
    <w:tmpl w:val="26D8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5AB8"/>
    <w:multiLevelType w:val="hybridMultilevel"/>
    <w:tmpl w:val="356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4C93"/>
    <w:multiLevelType w:val="hybridMultilevel"/>
    <w:tmpl w:val="442E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6A75"/>
    <w:multiLevelType w:val="hybridMultilevel"/>
    <w:tmpl w:val="BA0C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189B"/>
    <w:multiLevelType w:val="hybridMultilevel"/>
    <w:tmpl w:val="29C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E4DA1"/>
    <w:multiLevelType w:val="hybridMultilevel"/>
    <w:tmpl w:val="C9880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A62AF2"/>
    <w:multiLevelType w:val="multilevel"/>
    <w:tmpl w:val="80C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4C1AE5"/>
    <w:multiLevelType w:val="hybridMultilevel"/>
    <w:tmpl w:val="FECEE472"/>
    <w:lvl w:ilvl="0" w:tplc="9CC488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34E95"/>
    <w:multiLevelType w:val="hybridMultilevel"/>
    <w:tmpl w:val="C32C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C0B04"/>
    <w:multiLevelType w:val="hybridMultilevel"/>
    <w:tmpl w:val="1EFE3B58"/>
    <w:lvl w:ilvl="0" w:tplc="F6640F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2420F"/>
    <w:multiLevelType w:val="hybridMultilevel"/>
    <w:tmpl w:val="6A2A6252"/>
    <w:lvl w:ilvl="0" w:tplc="ADB20A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6053C"/>
    <w:multiLevelType w:val="hybridMultilevel"/>
    <w:tmpl w:val="E5185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FE0932"/>
    <w:multiLevelType w:val="hybridMultilevel"/>
    <w:tmpl w:val="09AE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2AFF"/>
    <w:multiLevelType w:val="hybridMultilevel"/>
    <w:tmpl w:val="43D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A2AF2"/>
    <w:multiLevelType w:val="hybridMultilevel"/>
    <w:tmpl w:val="95F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1BF5"/>
    <w:multiLevelType w:val="hybridMultilevel"/>
    <w:tmpl w:val="593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A3A45"/>
    <w:multiLevelType w:val="hybridMultilevel"/>
    <w:tmpl w:val="51D4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412F"/>
    <w:multiLevelType w:val="hybridMultilevel"/>
    <w:tmpl w:val="F7DE9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7E40E0"/>
    <w:multiLevelType w:val="hybridMultilevel"/>
    <w:tmpl w:val="152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81CF3"/>
    <w:multiLevelType w:val="hybridMultilevel"/>
    <w:tmpl w:val="825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5722D"/>
    <w:multiLevelType w:val="hybridMultilevel"/>
    <w:tmpl w:val="EDA4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12E34"/>
    <w:multiLevelType w:val="hybridMultilevel"/>
    <w:tmpl w:val="6CA2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7"/>
  </w:num>
  <w:num w:numId="14">
    <w:abstractNumId w:val="18"/>
  </w:num>
  <w:num w:numId="15">
    <w:abstractNumId w:val="16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"/>
  </w:num>
  <w:num w:numId="21">
    <w:abstractNumId w:val="14"/>
  </w:num>
  <w:num w:numId="22">
    <w:abstractNumId w:val="22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4"/>
    <w:rsid w:val="00027A6B"/>
    <w:rsid w:val="000356CB"/>
    <w:rsid w:val="00046652"/>
    <w:rsid w:val="000773EC"/>
    <w:rsid w:val="000853E4"/>
    <w:rsid w:val="0008655E"/>
    <w:rsid w:val="000C10A9"/>
    <w:rsid w:val="000D4A1A"/>
    <w:rsid w:val="000F1EFF"/>
    <w:rsid w:val="00103471"/>
    <w:rsid w:val="00124708"/>
    <w:rsid w:val="001336CF"/>
    <w:rsid w:val="001544A3"/>
    <w:rsid w:val="001649AF"/>
    <w:rsid w:val="00166801"/>
    <w:rsid w:val="00171960"/>
    <w:rsid w:val="00192E3D"/>
    <w:rsid w:val="001A7349"/>
    <w:rsid w:val="001B115B"/>
    <w:rsid w:val="001D6F8F"/>
    <w:rsid w:val="001D6FA9"/>
    <w:rsid w:val="001F0270"/>
    <w:rsid w:val="001F02B1"/>
    <w:rsid w:val="001F073D"/>
    <w:rsid w:val="00206102"/>
    <w:rsid w:val="00227DCA"/>
    <w:rsid w:val="002345CA"/>
    <w:rsid w:val="00241EF9"/>
    <w:rsid w:val="002528C7"/>
    <w:rsid w:val="0025682D"/>
    <w:rsid w:val="002642CE"/>
    <w:rsid w:val="00266303"/>
    <w:rsid w:val="002677CC"/>
    <w:rsid w:val="0027031B"/>
    <w:rsid w:val="00272E4B"/>
    <w:rsid w:val="00286804"/>
    <w:rsid w:val="002937EA"/>
    <w:rsid w:val="002A31CE"/>
    <w:rsid w:val="002A3C17"/>
    <w:rsid w:val="002B4396"/>
    <w:rsid w:val="002D7CDF"/>
    <w:rsid w:val="00305459"/>
    <w:rsid w:val="00307373"/>
    <w:rsid w:val="0031598A"/>
    <w:rsid w:val="0034378A"/>
    <w:rsid w:val="00363173"/>
    <w:rsid w:val="0036406D"/>
    <w:rsid w:val="0040172D"/>
    <w:rsid w:val="00450EEA"/>
    <w:rsid w:val="00473D26"/>
    <w:rsid w:val="004A22D6"/>
    <w:rsid w:val="004B7CC6"/>
    <w:rsid w:val="004C426F"/>
    <w:rsid w:val="004E7EE2"/>
    <w:rsid w:val="00501751"/>
    <w:rsid w:val="00507009"/>
    <w:rsid w:val="005121A1"/>
    <w:rsid w:val="00515B0A"/>
    <w:rsid w:val="00532F4C"/>
    <w:rsid w:val="005420AE"/>
    <w:rsid w:val="00542FD4"/>
    <w:rsid w:val="005449E1"/>
    <w:rsid w:val="00545CFF"/>
    <w:rsid w:val="00552037"/>
    <w:rsid w:val="0056286A"/>
    <w:rsid w:val="005A49A9"/>
    <w:rsid w:val="005E25E6"/>
    <w:rsid w:val="005E7652"/>
    <w:rsid w:val="005E7AD7"/>
    <w:rsid w:val="005F0A0F"/>
    <w:rsid w:val="0060102C"/>
    <w:rsid w:val="006147CE"/>
    <w:rsid w:val="0062270F"/>
    <w:rsid w:val="00642FD7"/>
    <w:rsid w:val="006477B3"/>
    <w:rsid w:val="00661E84"/>
    <w:rsid w:val="006667FE"/>
    <w:rsid w:val="00691AED"/>
    <w:rsid w:val="00696C57"/>
    <w:rsid w:val="006A3530"/>
    <w:rsid w:val="006E55CD"/>
    <w:rsid w:val="00720D2F"/>
    <w:rsid w:val="00767C3C"/>
    <w:rsid w:val="00777B32"/>
    <w:rsid w:val="00785982"/>
    <w:rsid w:val="00792F43"/>
    <w:rsid w:val="007A0BBC"/>
    <w:rsid w:val="007D4218"/>
    <w:rsid w:val="00810A73"/>
    <w:rsid w:val="00810D6F"/>
    <w:rsid w:val="00826A77"/>
    <w:rsid w:val="0083510A"/>
    <w:rsid w:val="00837B68"/>
    <w:rsid w:val="008474AE"/>
    <w:rsid w:val="008723F9"/>
    <w:rsid w:val="0087520E"/>
    <w:rsid w:val="008971FF"/>
    <w:rsid w:val="008C6828"/>
    <w:rsid w:val="008D4D54"/>
    <w:rsid w:val="008E4374"/>
    <w:rsid w:val="00910FE0"/>
    <w:rsid w:val="009314E2"/>
    <w:rsid w:val="009562FB"/>
    <w:rsid w:val="00964D21"/>
    <w:rsid w:val="00981A9F"/>
    <w:rsid w:val="00996E72"/>
    <w:rsid w:val="009B7761"/>
    <w:rsid w:val="009D590D"/>
    <w:rsid w:val="00A06EEC"/>
    <w:rsid w:val="00A61ACE"/>
    <w:rsid w:val="00A72CB7"/>
    <w:rsid w:val="00AB33B4"/>
    <w:rsid w:val="00AB6835"/>
    <w:rsid w:val="00AC2D97"/>
    <w:rsid w:val="00AD4E4B"/>
    <w:rsid w:val="00AE41C7"/>
    <w:rsid w:val="00B17C0B"/>
    <w:rsid w:val="00B20715"/>
    <w:rsid w:val="00B41649"/>
    <w:rsid w:val="00B5485F"/>
    <w:rsid w:val="00B70F05"/>
    <w:rsid w:val="00B90231"/>
    <w:rsid w:val="00BA1ECC"/>
    <w:rsid w:val="00BC09A4"/>
    <w:rsid w:val="00BC64A2"/>
    <w:rsid w:val="00BC71BF"/>
    <w:rsid w:val="00BE4A8E"/>
    <w:rsid w:val="00BF197C"/>
    <w:rsid w:val="00BF6FE5"/>
    <w:rsid w:val="00C526C0"/>
    <w:rsid w:val="00C826C1"/>
    <w:rsid w:val="00CA04A3"/>
    <w:rsid w:val="00CB7D36"/>
    <w:rsid w:val="00CD110D"/>
    <w:rsid w:val="00CF5C82"/>
    <w:rsid w:val="00D12B82"/>
    <w:rsid w:val="00D4486F"/>
    <w:rsid w:val="00D512CB"/>
    <w:rsid w:val="00D52832"/>
    <w:rsid w:val="00D61554"/>
    <w:rsid w:val="00D971F1"/>
    <w:rsid w:val="00DA0EF2"/>
    <w:rsid w:val="00DB46C9"/>
    <w:rsid w:val="00DD322D"/>
    <w:rsid w:val="00DE429F"/>
    <w:rsid w:val="00E07C3E"/>
    <w:rsid w:val="00E26560"/>
    <w:rsid w:val="00E65866"/>
    <w:rsid w:val="00E65C3A"/>
    <w:rsid w:val="00E669EB"/>
    <w:rsid w:val="00E81352"/>
    <w:rsid w:val="00E92756"/>
    <w:rsid w:val="00EA0707"/>
    <w:rsid w:val="00EC05A5"/>
    <w:rsid w:val="00ED1342"/>
    <w:rsid w:val="00F021A9"/>
    <w:rsid w:val="00F17781"/>
    <w:rsid w:val="00F31D7A"/>
    <w:rsid w:val="00F571B3"/>
    <w:rsid w:val="00F60E01"/>
    <w:rsid w:val="00F7608A"/>
    <w:rsid w:val="00F77705"/>
    <w:rsid w:val="00F86464"/>
    <w:rsid w:val="00F97CE3"/>
    <w:rsid w:val="00FA6E17"/>
    <w:rsid w:val="00FB3E62"/>
    <w:rsid w:val="00FD6305"/>
    <w:rsid w:val="00FD72D6"/>
    <w:rsid w:val="00FE1726"/>
    <w:rsid w:val="00FE2DBA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69675"/>
  <w15:chartTrackingRefBased/>
  <w15:docId w15:val="{74591F88-10E3-4027-A1C1-55F0A19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0EE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615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15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C09A4"/>
    <w:rPr>
      <w:sz w:val="24"/>
      <w:szCs w:val="24"/>
    </w:rPr>
  </w:style>
  <w:style w:type="character" w:styleId="PageNumber">
    <w:name w:val="page number"/>
    <w:unhideWhenUsed/>
    <w:rsid w:val="00BC09A4"/>
  </w:style>
  <w:style w:type="paragraph" w:styleId="BalloonText">
    <w:name w:val="Balloon Text"/>
    <w:basedOn w:val="Normal"/>
    <w:link w:val="BalloonTextChar"/>
    <w:rsid w:val="0008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32"/>
    <w:pPr>
      <w:ind w:left="720"/>
      <w:contextualSpacing/>
    </w:pPr>
  </w:style>
  <w:style w:type="character" w:styleId="CommentReference">
    <w:name w:val="annotation reference"/>
    <w:basedOn w:val="DefaultParagraphFont"/>
    <w:rsid w:val="00B17C0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17C0B"/>
  </w:style>
  <w:style w:type="character" w:customStyle="1" w:styleId="CommentTextChar">
    <w:name w:val="Comment Text Char"/>
    <w:basedOn w:val="DefaultParagraphFont"/>
    <w:link w:val="CommentText"/>
    <w:rsid w:val="00B17C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17C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17C0B"/>
    <w:rPr>
      <w:b/>
      <w:bCs/>
      <w:sz w:val="24"/>
      <w:szCs w:val="24"/>
    </w:rPr>
  </w:style>
  <w:style w:type="paragraph" w:customStyle="1" w:styleId="p1">
    <w:name w:val="p1"/>
    <w:basedOn w:val="Normal"/>
    <w:rsid w:val="001649AF"/>
    <w:rPr>
      <w:rFonts w:ascii="Helvetica" w:hAnsi="Helvetica"/>
      <w:color w:val="323333"/>
      <w:sz w:val="15"/>
      <w:szCs w:val="15"/>
    </w:rPr>
  </w:style>
  <w:style w:type="paragraph" w:customStyle="1" w:styleId="p2">
    <w:name w:val="p2"/>
    <w:basedOn w:val="Normal"/>
    <w:rsid w:val="001649AF"/>
    <w:rPr>
      <w:rFonts w:ascii="Helvetica" w:hAnsi="Helvetica"/>
      <w:color w:val="313131"/>
      <w:sz w:val="15"/>
      <w:szCs w:val="15"/>
    </w:rPr>
  </w:style>
  <w:style w:type="paragraph" w:styleId="NormalWeb">
    <w:name w:val="Normal (Web)"/>
    <w:basedOn w:val="Normal"/>
    <w:uiPriority w:val="99"/>
    <w:unhideWhenUsed/>
    <w:rsid w:val="00810D6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ruba\Desktop\JOB-PROFILE-DESCRIPTION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4CAA-13EF-4A79-B729-9EB2A3A3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JOB-PROFILE-DESCRIPTIONS(2)</Template>
  <TotalTime>16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DESCRIPTIONS</vt:lpstr>
    </vt:vector>
  </TitlesOfParts>
  <Company>Home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DESCRIPTIONS</dc:title>
  <dc:subject/>
  <dc:creator>Dhruba</dc:creator>
  <cp:keywords/>
  <dc:description/>
  <cp:lastModifiedBy>Abgail Ncube</cp:lastModifiedBy>
  <cp:revision>3</cp:revision>
  <cp:lastPrinted>2011-12-29T22:00:00Z</cp:lastPrinted>
  <dcterms:created xsi:type="dcterms:W3CDTF">2018-06-18T14:27:00Z</dcterms:created>
  <dcterms:modified xsi:type="dcterms:W3CDTF">2018-06-21T07:12:00Z</dcterms:modified>
</cp:coreProperties>
</file>